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D9DD95" w14:textId="77777777" w:rsidR="00E835D4" w:rsidRDefault="00000000">
      <w:pPr>
        <w:spacing w:before="120" w:after="60"/>
        <w:jc w:val="center"/>
      </w:pPr>
      <w:r>
        <w:rPr>
          <w:rFonts w:ascii="Montserrat" w:eastAsia="Montserrat" w:hAnsi="Montserrat" w:cs="Montserrat"/>
          <w:b/>
          <w:bCs/>
          <w:caps/>
          <w:color w:val="627F9F"/>
          <w:spacing w:val="40"/>
          <w:sz w:val="17"/>
          <w:szCs w:val="17"/>
        </w:rPr>
        <w:t>Executive Brief</w:t>
      </w:r>
    </w:p>
    <w:p w14:paraId="23166763" w14:textId="77777777" w:rsidR="00E835D4" w:rsidRDefault="00000000">
      <w:pPr>
        <w:pStyle w:val="Title"/>
        <w:jc w:val="center"/>
      </w:pPr>
      <w:r>
        <w:t>The New Face of Insider Risk</w:t>
      </w:r>
    </w:p>
    <w:p w14:paraId="2D88F4AB" w14:textId="77777777" w:rsidR="00E835D4" w:rsidRDefault="00000000">
      <w:pPr>
        <w:pStyle w:val="Subtitle"/>
        <w:jc w:val="center"/>
      </w:pPr>
      <w:r>
        <w:t>Trusted access has changed. Insider risk programs need to change with it.</w:t>
      </w:r>
    </w:p>
    <w:p w14:paraId="7A1F0455" w14:textId="77777777" w:rsidR="00E835D4" w:rsidRDefault="00E835D4">
      <w:pPr>
        <w:pBdr>
          <w:bottom w:val="single" w:sz="8" w:space="1" w:color="22A435"/>
        </w:pBdr>
        <w:spacing w:after="20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E835D4" w14:paraId="07DA3A6B" w14:textId="77777777">
        <w:trPr>
          <w:cantSplit/>
        </w:trPr>
        <w:tc>
          <w:tcPr>
            <w:tcW w:w="10080" w:type="dxa"/>
            <w:tcBorders>
              <w:top w:val="none" w:sz="0" w:space="0" w:color="FFFFFF"/>
              <w:left w:val="single" w:sz="36" w:space="0" w:color="22A435"/>
              <w:bottom w:val="none" w:sz="0" w:space="0" w:color="FFFFFF"/>
              <w:right w:val="none" w:sz="0" w:space="0" w:color="FFFFFF"/>
            </w:tcBorders>
            <w:shd w:val="clear" w:color="auto" w:fill="E8E6DC"/>
            <w:tcMar>
              <w:top w:w="140" w:type="dxa"/>
              <w:left w:w="240" w:type="dxa"/>
              <w:bottom w:w="140" w:type="dxa"/>
              <w:right w:w="240" w:type="dxa"/>
            </w:tcMar>
          </w:tcPr>
          <w:p w14:paraId="12F62446" w14:textId="77777777" w:rsidR="00E835D4" w:rsidRDefault="00000000">
            <w:pPr>
              <w:spacing w:after="0"/>
            </w:pPr>
            <w:r>
              <w:rPr>
                <w:rFonts w:ascii="Montserrat" w:eastAsia="Montserrat" w:hAnsi="Montserrat" w:cs="Montserrat"/>
                <w:b/>
                <w:bCs/>
                <w:color w:val="37669D"/>
              </w:rPr>
              <w:t>Most security stacks are not broken. They do what they were designed to do. The challenge is that insider risk also requires understanding the person behind trusted access.</w:t>
            </w:r>
          </w:p>
        </w:tc>
      </w:tr>
    </w:tbl>
    <w:p w14:paraId="59FFDC0F" w14:textId="77777777" w:rsidR="00E835D4" w:rsidRDefault="00000000">
      <w:pPr>
        <w:pStyle w:val="Heading1"/>
        <w:keepNext/>
        <w:keepLines/>
      </w:pPr>
      <w:r>
        <w:t>Trusted access is more complex</w:t>
      </w:r>
    </w:p>
    <w:p w14:paraId="47AA0656" w14:textId="77777777" w:rsidR="00E835D4" w:rsidRDefault="00000000">
      <w:r>
        <w:t>Employees, remote workers, contractors, stolen and synthetic identities, and increasingly AI tools and agents can all operate with trusted access. Traditional security controls remain essential, but they do not provide the entire picture. Insider risk also requires relevant human context and a governed way to get that information to the people responsible for managing risk.</w:t>
      </w:r>
    </w:p>
    <w:p w14:paraId="60C1F7BE" w14:textId="77777777" w:rsidR="00E835D4" w:rsidRDefault="00000000">
      <w:pPr>
        <w:pStyle w:val="Heading1"/>
        <w:keepNext/>
        <w:keepLines/>
      </w:pPr>
      <w:r>
        <w:t>The numbers make the case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80"/>
        <w:gridCol w:w="120"/>
        <w:gridCol w:w="3280"/>
        <w:gridCol w:w="120"/>
        <w:gridCol w:w="3280"/>
      </w:tblGrid>
      <w:tr w:rsidR="00E835D4" w14:paraId="4CA731F9" w14:textId="77777777">
        <w:trPr>
          <w:cantSplit/>
        </w:trPr>
        <w:tc>
          <w:tcPr>
            <w:tcW w:w="3280" w:type="dxa"/>
            <w:tcBorders>
              <w:top w:val="single" w:sz="24" w:space="0" w:color="22A435"/>
              <w:left w:val="none" w:sz="0" w:space="0" w:color="FFFFFF"/>
              <w:bottom w:val="none" w:sz="0" w:space="0" w:color="FFFFFF"/>
              <w:right w:val="none" w:sz="0" w:space="0" w:color="FFFFFF"/>
            </w:tcBorders>
            <w:shd w:val="clear" w:color="auto" w:fill="E8E6DC"/>
            <w:tcMar>
              <w:top w:w="140" w:type="dxa"/>
              <w:left w:w="120" w:type="dxa"/>
              <w:bottom w:w="140" w:type="dxa"/>
              <w:right w:w="120" w:type="dxa"/>
            </w:tcMar>
          </w:tcPr>
          <w:p w14:paraId="0C4A2073" w14:textId="77777777" w:rsidR="00E835D4" w:rsidRDefault="00000000">
            <w:pPr>
              <w:spacing w:after="20" w:line="240" w:lineRule="auto"/>
              <w:jc w:val="center"/>
            </w:pPr>
            <w:r>
              <w:rPr>
                <w:rFonts w:ascii="Montserrat" w:eastAsia="Montserrat" w:hAnsi="Montserrat" w:cs="Montserrat"/>
                <w:b/>
                <w:bCs/>
                <w:color w:val="37669D"/>
                <w:sz w:val="44"/>
                <w:szCs w:val="44"/>
              </w:rPr>
              <w:t>$19.5M</w:t>
            </w:r>
          </w:p>
          <w:p w14:paraId="12CB88E3" w14:textId="77777777" w:rsidR="00E835D4" w:rsidRDefault="00000000">
            <w:pPr>
              <w:spacing w:after="40"/>
              <w:jc w:val="center"/>
            </w:pPr>
            <w:r>
              <w:rPr>
                <w:rFonts w:ascii="Montserrat" w:eastAsia="Montserrat" w:hAnsi="Montserrat" w:cs="Montserrat"/>
                <w:b/>
                <w:bCs/>
                <w:color w:val="22A435"/>
                <w:spacing w:val="20"/>
                <w:sz w:val="15"/>
                <w:szCs w:val="15"/>
              </w:rPr>
              <w:t>AVERAGE ANNUAL COST</w:t>
            </w:r>
          </w:p>
          <w:p w14:paraId="254F2D48" w14:textId="77777777" w:rsidR="00E835D4" w:rsidRDefault="00000000">
            <w:pPr>
              <w:spacing w:after="0" w:line="252" w:lineRule="auto"/>
              <w:jc w:val="center"/>
            </w:pPr>
            <w:r>
              <w:rPr>
                <w:sz w:val="17"/>
                <w:szCs w:val="17"/>
              </w:rPr>
              <w:t>per organization across insider incidents in 2025</w:t>
            </w:r>
          </w:p>
        </w:tc>
        <w:tc>
          <w:tcPr>
            <w:tcW w:w="120" w:type="dxa"/>
          </w:tcPr>
          <w:p w14:paraId="6988DB33" w14:textId="77777777" w:rsidR="00E835D4" w:rsidRDefault="00E835D4"/>
        </w:tc>
        <w:tc>
          <w:tcPr>
            <w:tcW w:w="3280" w:type="dxa"/>
            <w:tcBorders>
              <w:top w:val="single" w:sz="24" w:space="0" w:color="22A435"/>
              <w:left w:val="none" w:sz="0" w:space="0" w:color="FFFFFF"/>
              <w:bottom w:val="none" w:sz="0" w:space="0" w:color="FFFFFF"/>
              <w:right w:val="none" w:sz="0" w:space="0" w:color="FFFFFF"/>
            </w:tcBorders>
            <w:shd w:val="clear" w:color="auto" w:fill="E8E6DC"/>
            <w:tcMar>
              <w:top w:w="140" w:type="dxa"/>
              <w:left w:w="120" w:type="dxa"/>
              <w:bottom w:w="140" w:type="dxa"/>
              <w:right w:w="120" w:type="dxa"/>
            </w:tcMar>
          </w:tcPr>
          <w:p w14:paraId="424E2EA2" w14:textId="77777777" w:rsidR="00E835D4" w:rsidRDefault="00000000">
            <w:pPr>
              <w:spacing w:after="20" w:line="240" w:lineRule="auto"/>
              <w:jc w:val="center"/>
            </w:pPr>
            <w:r>
              <w:rPr>
                <w:rFonts w:ascii="Montserrat" w:eastAsia="Montserrat" w:hAnsi="Montserrat" w:cs="Montserrat"/>
                <w:b/>
                <w:bCs/>
                <w:color w:val="37669D"/>
                <w:sz w:val="44"/>
                <w:szCs w:val="44"/>
              </w:rPr>
              <w:t>53%</w:t>
            </w:r>
          </w:p>
          <w:p w14:paraId="4C5FE766" w14:textId="77777777" w:rsidR="00E835D4" w:rsidRDefault="00000000">
            <w:pPr>
              <w:spacing w:after="40"/>
              <w:jc w:val="center"/>
            </w:pPr>
            <w:r>
              <w:rPr>
                <w:rFonts w:ascii="Montserrat" w:eastAsia="Montserrat" w:hAnsi="Montserrat" w:cs="Montserrat"/>
                <w:b/>
                <w:bCs/>
                <w:color w:val="22A435"/>
                <w:spacing w:val="20"/>
                <w:sz w:val="15"/>
                <w:szCs w:val="15"/>
              </w:rPr>
              <w:t>NEGLIGENT OR MISTAKEN</w:t>
            </w:r>
          </w:p>
          <w:p w14:paraId="163D1923" w14:textId="77777777" w:rsidR="00E835D4" w:rsidRDefault="00000000">
            <w:pPr>
              <w:spacing w:after="0" w:line="252" w:lineRule="auto"/>
              <w:jc w:val="center"/>
            </w:pPr>
            <w:r>
              <w:rPr>
                <w:sz w:val="17"/>
                <w:szCs w:val="17"/>
              </w:rPr>
              <w:t>share of 7,490 incidents in the study</w:t>
            </w:r>
          </w:p>
        </w:tc>
        <w:tc>
          <w:tcPr>
            <w:tcW w:w="120" w:type="dxa"/>
          </w:tcPr>
          <w:p w14:paraId="40FA0877" w14:textId="77777777" w:rsidR="00E835D4" w:rsidRDefault="00E835D4"/>
        </w:tc>
        <w:tc>
          <w:tcPr>
            <w:tcW w:w="3280" w:type="dxa"/>
            <w:tcBorders>
              <w:top w:val="single" w:sz="24" w:space="0" w:color="22A435"/>
              <w:left w:val="none" w:sz="0" w:space="0" w:color="FFFFFF"/>
              <w:bottom w:val="none" w:sz="0" w:space="0" w:color="FFFFFF"/>
              <w:right w:val="none" w:sz="0" w:space="0" w:color="FFFFFF"/>
            </w:tcBorders>
            <w:shd w:val="clear" w:color="auto" w:fill="E8E6DC"/>
            <w:tcMar>
              <w:top w:w="140" w:type="dxa"/>
              <w:left w:w="120" w:type="dxa"/>
              <w:bottom w:w="140" w:type="dxa"/>
              <w:right w:w="120" w:type="dxa"/>
            </w:tcMar>
          </w:tcPr>
          <w:p w14:paraId="53239246" w14:textId="77777777" w:rsidR="00E835D4" w:rsidRDefault="00000000">
            <w:pPr>
              <w:spacing w:after="20" w:line="240" w:lineRule="auto"/>
              <w:jc w:val="center"/>
            </w:pPr>
            <w:r>
              <w:rPr>
                <w:rFonts w:ascii="Montserrat" w:eastAsia="Montserrat" w:hAnsi="Montserrat" w:cs="Montserrat"/>
                <w:b/>
                <w:bCs/>
                <w:color w:val="37669D"/>
                <w:sz w:val="44"/>
                <w:szCs w:val="44"/>
              </w:rPr>
              <w:t>67 DAYS</w:t>
            </w:r>
          </w:p>
          <w:p w14:paraId="16AF677E" w14:textId="77777777" w:rsidR="00E835D4" w:rsidRDefault="00000000">
            <w:pPr>
              <w:spacing w:after="40"/>
              <w:jc w:val="center"/>
            </w:pPr>
            <w:r>
              <w:rPr>
                <w:rFonts w:ascii="Montserrat" w:eastAsia="Montserrat" w:hAnsi="Montserrat" w:cs="Montserrat"/>
                <w:b/>
                <w:bCs/>
                <w:color w:val="22A435"/>
                <w:spacing w:val="20"/>
                <w:sz w:val="15"/>
                <w:szCs w:val="15"/>
              </w:rPr>
              <w:t>AVERAGE CONTAINMENT</w:t>
            </w:r>
          </w:p>
          <w:p w14:paraId="6221FB01" w14:textId="77777777" w:rsidR="00E835D4" w:rsidRDefault="00000000">
            <w:pPr>
              <w:spacing w:after="0" w:line="252" w:lineRule="auto"/>
              <w:jc w:val="center"/>
            </w:pPr>
            <w:r>
              <w:rPr>
                <w:sz w:val="17"/>
                <w:szCs w:val="17"/>
              </w:rPr>
              <w:t>only 13% were contained within 30 days</w:t>
            </w:r>
          </w:p>
        </w:tc>
      </w:tr>
    </w:tbl>
    <w:p w14:paraId="45350AC7" w14:textId="77777777" w:rsidR="00E835D4" w:rsidRDefault="00000000">
      <w:pPr>
        <w:spacing w:before="80" w:after="160"/>
        <w:jc w:val="center"/>
      </w:pPr>
      <w:r>
        <w:rPr>
          <w:i/>
          <w:iCs/>
          <w:color w:val="627F9F"/>
          <w:sz w:val="15"/>
          <w:szCs w:val="15"/>
        </w:rPr>
        <w:t xml:space="preserve">2026 </w:t>
      </w:r>
      <w:proofErr w:type="spellStart"/>
      <w:r>
        <w:rPr>
          <w:i/>
          <w:iCs/>
          <w:color w:val="627F9F"/>
          <w:sz w:val="15"/>
          <w:szCs w:val="15"/>
        </w:rPr>
        <w:t>Ponemon</w:t>
      </w:r>
      <w:proofErr w:type="spellEnd"/>
      <w:r>
        <w:rPr>
          <w:i/>
          <w:iCs/>
          <w:color w:val="627F9F"/>
          <w:sz w:val="15"/>
          <w:szCs w:val="15"/>
        </w:rPr>
        <w:t xml:space="preserve"> Institute Cost of Insider Risks Global Report, sponsored by DTEX. Study population: 354 organizations that had experienced one or more material insider incidents.</w:t>
      </w:r>
    </w:p>
    <w:p w14:paraId="1EEB4EA9" w14:textId="77777777" w:rsidR="00E835D4" w:rsidRDefault="00000000">
      <w:pPr>
        <w:pStyle w:val="Heading1"/>
        <w:keepNext/>
        <w:keepLines/>
      </w:pPr>
      <w:r>
        <w:t>AI is widening the governance gap</w:t>
      </w:r>
    </w:p>
    <w:p w14:paraId="44355F1E" w14:textId="77777777" w:rsidR="00E835D4" w:rsidRDefault="00000000">
      <w:r>
        <w:t xml:space="preserve">The 2026 study found that 92 percent of organizations say generative AI has changed how </w:t>
      </w:r>
      <w:proofErr w:type="gramStart"/>
      <w:r>
        <w:t>employees</w:t>
      </w:r>
      <w:proofErr w:type="gramEnd"/>
      <w:r>
        <w:t xml:space="preserve"> access and share information, while only 18 percent have fully integrated AI governance into their insider risk programs. AI is changing both how people work and how trusted identities operate inside organizations.</w:t>
      </w:r>
    </w:p>
    <w:p w14:paraId="4E8EE4CE" w14:textId="77777777" w:rsidR="00E835D4" w:rsidRDefault="00000000">
      <w:pPr>
        <w:pStyle w:val="Heading1"/>
        <w:keepNext/>
        <w:keepLines/>
      </w:pPr>
      <w:r>
        <w:t>Human risk requires context, not surveillance</w:t>
      </w:r>
    </w:p>
    <w:p w14:paraId="5AEC83AF" w14:textId="0DD913EE" w:rsidR="00E835D4" w:rsidRDefault="00000000">
      <w:r>
        <w:t xml:space="preserve">Financial difficulty, legal problems, relationship disruption, employment actions, grievances, and other significant stressors can become relevant when combined with concerning behavior. No single factor predicts violence or makes someone an insider </w:t>
      </w:r>
      <w:r w:rsidR="00AC219E">
        <w:t>risk</w:t>
      </w:r>
      <w:r>
        <w:t>. The objective is not to label an employee because they are having a difficult year. It is to recognize when multiple indicators warrant a fair, informed assessment and an opportunity to intervene.</w:t>
      </w:r>
    </w:p>
    <w:p w14:paraId="3E84AA0A" w14:textId="77777777" w:rsidR="00E835D4" w:rsidRDefault="00000000">
      <w:pPr>
        <w:pStyle w:val="Heading1"/>
        <w:keepNext/>
        <w:keepLines/>
      </w:pPr>
      <w:r>
        <w:t>Connect the signals. Understand the context. Act earlier.</w:t>
      </w:r>
    </w:p>
    <w:p w14:paraId="027C16D5" w14:textId="77777777" w:rsidR="00E835D4" w:rsidRDefault="00000000">
      <w:r>
        <w:t>An effective insider risk model connects relevant human and technical information, validates what matters, and gives the appropriate risk owners the context needed to respond. Technical controls remain essential. Human risk information adds another layer of context around the person behind the access.</w:t>
      </w:r>
    </w:p>
    <w:p w14:paraId="6D848AA5" w14:textId="77777777" w:rsidR="00E835D4" w:rsidRDefault="00000000">
      <w:pPr>
        <w:keepNext/>
        <w:spacing w:after="60"/>
        <w:jc w:val="center"/>
      </w:pPr>
      <w:r>
        <w:rPr>
          <w:noProof/>
        </w:rPr>
        <w:lastRenderedPageBreak/>
        <w:drawing>
          <wp:inline distT="0" distB="0" distL="0" distR="0" wp14:anchorId="41352E97" wp14:editId="30494048">
            <wp:extent cx="6400800" cy="2105025"/>
            <wp:effectExtent l="0" t="0" r="0" b="0"/>
            <wp:docPr id="1" name="Connect, understand, act" descr="Three-step flow: connect human and technical signals; understand the context through governed assessment; act earlier through appropriate risk owners with fair review and documented action." title="Connect the signals, understand the context, act ear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400800" cy="2105025"/>
                    </a:xfrm>
                    <a:prstGeom prst="rect">
                      <a:avLst/>
                    </a:prstGeom>
                  </pic:spPr>
                </pic:pic>
              </a:graphicData>
            </a:graphic>
          </wp:inline>
        </w:drawing>
      </w:r>
    </w:p>
    <w:p w14:paraId="10C7CEAA" w14:textId="77777777" w:rsidR="00E835D4" w:rsidRDefault="00000000">
      <w:pPr>
        <w:spacing w:before="120" w:after="120"/>
        <w:jc w:val="center"/>
      </w:pPr>
      <w:r>
        <w:rPr>
          <w:rFonts w:ascii="Montserrat" w:eastAsia="Montserrat" w:hAnsi="Montserrat" w:cs="Montserrat"/>
          <w:b/>
          <w:bCs/>
          <w:color w:val="22A435"/>
          <w:sz w:val="23"/>
          <w:szCs w:val="23"/>
        </w:rPr>
        <w:t>The goal is not more alerts. It is earlier awareness, fair review, and documented action.</w:t>
      </w:r>
    </w:p>
    <w:p w14:paraId="5C4FF765" w14:textId="77777777" w:rsidR="00E835D4" w:rsidRDefault="00000000">
      <w:pPr>
        <w:pStyle w:val="Heading1"/>
        <w:keepNext/>
        <w:keepLines/>
      </w:pPr>
      <w:r>
        <w:t>Questions leadership should be able to answer</w:t>
      </w:r>
    </w:p>
    <w:p w14:paraId="02D2BAE8" w14:textId="77777777" w:rsidR="00E835D4" w:rsidRDefault="00000000">
      <w:pPr>
        <w:tabs>
          <w:tab w:val="left" w:pos="400"/>
        </w:tabs>
        <w:spacing w:after="100"/>
        <w:ind w:left="400" w:hanging="400"/>
      </w:pPr>
      <w:r>
        <w:rPr>
          <w:noProof/>
        </w:rPr>
        <w:drawing>
          <wp:inline distT="0" distB="0" distL="0" distR="0" wp14:anchorId="0533D371" wp14:editId="30433BE4">
            <wp:extent cx="123825" cy="123825"/>
            <wp:effectExtent l="0" t="0" r="0" b="0"/>
            <wp:docPr id="589452568" name="Picture 58945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 cy="123825"/>
                    </a:xfrm>
                    <a:prstGeom prst="rect">
                      <a:avLst/>
                    </a:prstGeom>
                  </pic:spPr>
                </pic:pic>
              </a:graphicData>
            </a:graphic>
          </wp:inline>
        </w:drawing>
      </w:r>
      <w:r>
        <w:tab/>
        <w:t>Who has the authority to bring together relevant HR, security, cyber, and legal information?</w:t>
      </w:r>
    </w:p>
    <w:p w14:paraId="69590842" w14:textId="77777777" w:rsidR="00E835D4" w:rsidRDefault="00000000">
      <w:pPr>
        <w:tabs>
          <w:tab w:val="left" w:pos="400"/>
        </w:tabs>
        <w:spacing w:after="100"/>
        <w:ind w:left="400" w:hanging="400"/>
      </w:pPr>
      <w:r>
        <w:rPr>
          <w:noProof/>
        </w:rPr>
        <w:drawing>
          <wp:inline distT="0" distB="0" distL="0" distR="0" wp14:anchorId="1E5D6941" wp14:editId="009BAAC6">
            <wp:extent cx="123825" cy="123825"/>
            <wp:effectExtent l="0" t="0" r="0" b="0"/>
            <wp:docPr id="1427751739" name="Picture 142775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 cy="123825"/>
                    </a:xfrm>
                    <a:prstGeom prst="rect">
                      <a:avLst/>
                    </a:prstGeom>
                  </pic:spPr>
                </pic:pic>
              </a:graphicData>
            </a:graphic>
          </wp:inline>
        </w:drawing>
      </w:r>
      <w:r>
        <w:tab/>
        <w:t>Is AI governance integrated into the insider risk program?</w:t>
      </w:r>
    </w:p>
    <w:p w14:paraId="179EABBD" w14:textId="77777777" w:rsidR="00E835D4" w:rsidRDefault="00000000">
      <w:pPr>
        <w:tabs>
          <w:tab w:val="left" w:pos="400"/>
        </w:tabs>
        <w:spacing w:after="100"/>
        <w:ind w:left="400" w:hanging="400"/>
      </w:pPr>
      <w:r>
        <w:rPr>
          <w:noProof/>
        </w:rPr>
        <w:drawing>
          <wp:inline distT="0" distB="0" distL="0" distR="0" wp14:anchorId="6EF31E55" wp14:editId="7FDF89C1">
            <wp:extent cx="123825" cy="123825"/>
            <wp:effectExtent l="0" t="0" r="0" b="0"/>
            <wp:docPr id="1398713853" name="Picture 139871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 cy="123825"/>
                    </a:xfrm>
                    <a:prstGeom prst="rect">
                      <a:avLst/>
                    </a:prstGeom>
                  </pic:spPr>
                </pic:pic>
              </a:graphicData>
            </a:graphic>
          </wp:inline>
        </w:drawing>
      </w:r>
      <w:r>
        <w:tab/>
        <w:t>Are intervention thresholds defined, with clear ownership and a documented response process?</w:t>
      </w:r>
    </w:p>
    <w:p w14:paraId="3D2F4162" w14:textId="77777777" w:rsidR="00E835D4" w:rsidRDefault="00000000">
      <w:pPr>
        <w:tabs>
          <w:tab w:val="left" w:pos="400"/>
        </w:tabs>
        <w:spacing w:after="100"/>
        <w:ind w:left="400" w:hanging="400"/>
      </w:pPr>
      <w:r>
        <w:rPr>
          <w:noProof/>
        </w:rPr>
        <w:drawing>
          <wp:inline distT="0" distB="0" distL="0" distR="0" wp14:anchorId="3DB4A5A1" wp14:editId="5642D659">
            <wp:extent cx="123825" cy="123825"/>
            <wp:effectExtent l="0" t="0" r="0" b="0"/>
            <wp:docPr id="1111392115" name="Picture 111139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 cy="123825"/>
                    </a:xfrm>
                    <a:prstGeom prst="rect">
                      <a:avLst/>
                    </a:prstGeom>
                  </pic:spPr>
                </pic:pic>
              </a:graphicData>
            </a:graphic>
          </wp:inline>
        </w:drawing>
      </w:r>
      <w:r>
        <w:tab/>
        <w:t>Can the hiring process detect the use of a valid but stolen identity, and what happens if one is already on the payroll?</w:t>
      </w:r>
    </w:p>
    <w:p w14:paraId="58EC30A1" w14:textId="77777777" w:rsidR="00E835D4" w:rsidRDefault="00E835D4">
      <w:pPr>
        <w:spacing w:after="4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E835D4" w14:paraId="60AC7214" w14:textId="77777777">
        <w:trPr>
          <w:cantSplit/>
        </w:trPr>
        <w:tc>
          <w:tcPr>
            <w:tcW w:w="10080" w:type="dxa"/>
            <w:shd w:val="clear" w:color="auto" w:fill="37669D"/>
            <w:tcMar>
              <w:top w:w="200" w:type="dxa"/>
              <w:left w:w="300" w:type="dxa"/>
              <w:bottom w:w="200" w:type="dxa"/>
              <w:right w:w="300" w:type="dxa"/>
            </w:tcMar>
          </w:tcPr>
          <w:p w14:paraId="78127D22" w14:textId="77777777" w:rsidR="00E835D4" w:rsidRDefault="00000000">
            <w:pPr>
              <w:spacing w:after="80"/>
              <w:jc w:val="center"/>
            </w:pPr>
            <w:r>
              <w:rPr>
                <w:rFonts w:ascii="Montserrat" w:eastAsia="Montserrat" w:hAnsi="Montserrat" w:cs="Montserrat"/>
                <w:b/>
                <w:bCs/>
                <w:color w:val="FFFFFF"/>
                <w:sz w:val="30"/>
                <w:szCs w:val="30"/>
              </w:rPr>
              <w:t>Build trust before you need it.</w:t>
            </w:r>
          </w:p>
          <w:p w14:paraId="785769B9" w14:textId="77777777" w:rsidR="00E835D4" w:rsidRDefault="00000000">
            <w:pPr>
              <w:spacing w:after="80"/>
              <w:jc w:val="center"/>
            </w:pPr>
            <w:r>
              <w:rPr>
                <w:color w:val="FFFFFF"/>
                <w:sz w:val="20"/>
                <w:szCs w:val="20"/>
              </w:rPr>
              <w:t>ClearForce Resolve helps organizations connect relevant human risk signals with governed assessment and documented action.</w:t>
            </w:r>
          </w:p>
          <w:p w14:paraId="4C7FDF75" w14:textId="77777777" w:rsidR="00E835D4" w:rsidRDefault="00000000">
            <w:pPr>
              <w:spacing w:after="0"/>
              <w:jc w:val="center"/>
            </w:pPr>
            <w:r>
              <w:rPr>
                <w:b/>
                <w:bCs/>
                <w:color w:val="FFFFFF"/>
                <w:sz w:val="20"/>
                <w:szCs w:val="20"/>
              </w:rPr>
              <w:t xml:space="preserve">Learn more at </w:t>
            </w:r>
            <w:hyperlink r:id="rId12" w:history="1">
              <w:r w:rsidR="00E835D4">
                <w:rPr>
                  <w:b/>
                  <w:bCs/>
                  <w:color w:val="FFFFFF"/>
                  <w:sz w:val="20"/>
                  <w:szCs w:val="20"/>
                  <w:u w:val="single"/>
                </w:rPr>
                <w:t>www.ClearForce.com</w:t>
              </w:r>
            </w:hyperlink>
          </w:p>
        </w:tc>
      </w:tr>
    </w:tbl>
    <w:p w14:paraId="52A15CA8" w14:textId="77777777" w:rsidR="00E835D4" w:rsidRDefault="00E835D4">
      <w:pPr>
        <w:spacing w:after="10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20"/>
        <w:gridCol w:w="240"/>
        <w:gridCol w:w="4920"/>
      </w:tblGrid>
      <w:tr w:rsidR="00E835D4" w14:paraId="727B7F71" w14:textId="77777777">
        <w:trPr>
          <w:cantSplit/>
        </w:trPr>
        <w:tc>
          <w:tcPr>
            <w:tcW w:w="4920" w:type="dxa"/>
            <w:shd w:val="clear" w:color="auto" w:fill="CED6E1"/>
            <w:tcMar>
              <w:top w:w="180" w:type="dxa"/>
              <w:left w:w="220" w:type="dxa"/>
              <w:bottom w:w="180" w:type="dxa"/>
              <w:right w:w="220" w:type="dxa"/>
            </w:tcMar>
          </w:tcPr>
          <w:p w14:paraId="136C6862" w14:textId="77777777" w:rsidR="00E835D4" w:rsidRDefault="00000000">
            <w:pPr>
              <w:spacing w:after="40"/>
            </w:pPr>
            <w:r>
              <w:rPr>
                <w:rFonts w:ascii="Montserrat" w:eastAsia="Montserrat" w:hAnsi="Montserrat" w:cs="Montserrat"/>
                <w:b/>
                <w:bCs/>
                <w:caps/>
                <w:color w:val="22A435"/>
                <w:spacing w:val="20"/>
                <w:sz w:val="15"/>
                <w:szCs w:val="15"/>
              </w:rPr>
              <w:t>Read the Full Paper</w:t>
            </w:r>
          </w:p>
          <w:p w14:paraId="40ED38CA" w14:textId="7F44A306" w:rsidR="00E835D4" w:rsidRDefault="00000000">
            <w:pPr>
              <w:spacing w:after="40"/>
            </w:pPr>
            <w:r>
              <w:rPr>
                <w:rFonts w:ascii="Montserrat" w:eastAsia="Montserrat" w:hAnsi="Montserrat" w:cs="Montserrat"/>
                <w:b/>
                <w:bCs/>
                <w:color w:val="37669D"/>
                <w:sz w:val="22"/>
                <w:szCs w:val="22"/>
              </w:rPr>
              <w:t xml:space="preserve">The New Face of Insider </w:t>
            </w:r>
            <w:r w:rsidR="00AC219E">
              <w:rPr>
                <w:rFonts w:ascii="Montserrat" w:eastAsia="Montserrat" w:hAnsi="Montserrat" w:cs="Montserrat"/>
                <w:b/>
                <w:bCs/>
                <w:color w:val="37669D"/>
                <w:sz w:val="22"/>
                <w:szCs w:val="22"/>
              </w:rPr>
              <w:t>Risk</w:t>
            </w:r>
          </w:p>
          <w:p w14:paraId="67A87845" w14:textId="77777777" w:rsidR="00E835D4" w:rsidRDefault="00000000">
            <w:pPr>
              <w:spacing w:after="80"/>
            </w:pPr>
            <w:r>
              <w:rPr>
                <w:i/>
                <w:iCs/>
                <w:color w:val="627F9F"/>
                <w:sz w:val="17"/>
                <w:szCs w:val="17"/>
              </w:rPr>
              <w:t>Why Trusted Access, Artificial Intelligence, and Point-in-Time Controls Call for a Governed, Human-Centered Approach</w:t>
            </w:r>
          </w:p>
          <w:p w14:paraId="451AD591" w14:textId="77777777" w:rsidR="00E835D4" w:rsidRDefault="00000000">
            <w:pPr>
              <w:spacing w:after="100"/>
            </w:pPr>
            <w:r>
              <w:rPr>
                <w:sz w:val="18"/>
                <w:szCs w:val="18"/>
              </w:rPr>
              <w:t>Explore the research, real-world cases, governance framework, and practical steps organizations can take to identify relevant human risk earlier and respond responsibly.</w:t>
            </w:r>
          </w:p>
          <w:p w14:paraId="31800819" w14:textId="6F710643" w:rsidR="00E835D4" w:rsidRDefault="00E835D4">
            <w:pPr>
              <w:spacing w:after="0"/>
            </w:pPr>
            <w:hyperlink r:id="rId13" w:history="1">
              <w:r>
                <w:rPr>
                  <w:rFonts w:ascii="Montserrat" w:eastAsia="Montserrat" w:hAnsi="Montserrat" w:cs="Montserrat"/>
                  <w:b/>
                  <w:bCs/>
                  <w:color w:val="37669D"/>
                  <w:sz w:val="18"/>
                  <w:szCs w:val="18"/>
                  <w:u w:val="single"/>
                </w:rPr>
                <w:t xml:space="preserve">Download the </w:t>
              </w:r>
              <w:r>
                <w:rPr>
                  <w:rFonts w:ascii="Montserrat" w:eastAsia="Montserrat" w:hAnsi="Montserrat" w:cs="Montserrat"/>
                  <w:b/>
                  <w:bCs/>
                  <w:color w:val="37669D"/>
                  <w:sz w:val="18"/>
                  <w:szCs w:val="18"/>
                  <w:u w:val="single"/>
                </w:rPr>
                <w:t>F</w:t>
              </w:r>
              <w:r>
                <w:rPr>
                  <w:rFonts w:ascii="Montserrat" w:eastAsia="Montserrat" w:hAnsi="Montserrat" w:cs="Montserrat"/>
                  <w:b/>
                  <w:bCs/>
                  <w:color w:val="37669D"/>
                  <w:sz w:val="18"/>
                  <w:szCs w:val="18"/>
                  <w:u w:val="single"/>
                </w:rPr>
                <w:t xml:space="preserve">ull </w:t>
              </w:r>
              <w:proofErr w:type="gramStart"/>
              <w:r>
                <w:rPr>
                  <w:rFonts w:ascii="Montserrat" w:eastAsia="Montserrat" w:hAnsi="Montserrat" w:cs="Montserrat"/>
                  <w:b/>
                  <w:bCs/>
                  <w:color w:val="37669D"/>
                  <w:sz w:val="18"/>
                  <w:szCs w:val="18"/>
                  <w:u w:val="single"/>
                </w:rPr>
                <w:t>Paper  ›</w:t>
              </w:r>
              <w:proofErr w:type="gramEnd"/>
            </w:hyperlink>
          </w:p>
        </w:tc>
        <w:tc>
          <w:tcPr>
            <w:tcW w:w="240" w:type="dxa"/>
          </w:tcPr>
          <w:p w14:paraId="17C37A8E" w14:textId="77777777" w:rsidR="00E835D4" w:rsidRDefault="00E835D4"/>
        </w:tc>
        <w:tc>
          <w:tcPr>
            <w:tcW w:w="4920" w:type="dxa"/>
            <w:shd w:val="clear" w:color="auto" w:fill="CED6E1"/>
            <w:tcMar>
              <w:top w:w="180" w:type="dxa"/>
              <w:left w:w="220" w:type="dxa"/>
              <w:bottom w:w="180" w:type="dxa"/>
              <w:right w:w="220" w:type="dxa"/>
            </w:tcMar>
          </w:tcPr>
          <w:p w14:paraId="41415A66" w14:textId="77777777" w:rsidR="00E835D4" w:rsidRDefault="00000000">
            <w:pPr>
              <w:spacing w:after="40"/>
            </w:pPr>
            <w:r>
              <w:rPr>
                <w:rFonts w:ascii="Montserrat" w:eastAsia="Montserrat" w:hAnsi="Montserrat" w:cs="Montserrat"/>
                <w:b/>
                <w:bCs/>
                <w:caps/>
                <w:color w:val="22A435"/>
                <w:spacing w:val="20"/>
                <w:sz w:val="15"/>
                <w:szCs w:val="15"/>
              </w:rPr>
              <w:t>Learn more about ClearForce Resolve</w:t>
            </w:r>
          </w:p>
          <w:p w14:paraId="0335D978" w14:textId="77777777" w:rsidR="00E835D4" w:rsidRDefault="00000000">
            <w:pPr>
              <w:spacing w:after="40"/>
            </w:pPr>
            <w:r>
              <w:rPr>
                <w:rFonts w:ascii="Montserrat" w:eastAsia="Montserrat" w:hAnsi="Montserrat" w:cs="Montserrat"/>
                <w:b/>
                <w:bCs/>
                <w:color w:val="37669D"/>
                <w:sz w:val="22"/>
                <w:szCs w:val="22"/>
              </w:rPr>
              <w:t>ClearForce Resolve</w:t>
            </w:r>
          </w:p>
          <w:p w14:paraId="43E47EF9" w14:textId="77777777" w:rsidR="00E835D4" w:rsidRDefault="00000000">
            <w:pPr>
              <w:spacing w:after="100"/>
            </w:pPr>
            <w:r>
              <w:rPr>
                <w:sz w:val="18"/>
                <w:szCs w:val="18"/>
              </w:rPr>
              <w:t>See how ClearForce helps organizations connect relevant human risk signals with existing security programs to support earlier awareness, informed assessment, and documented action.</w:t>
            </w:r>
          </w:p>
          <w:p w14:paraId="2FE80102" w14:textId="65CC1510" w:rsidR="00E835D4" w:rsidRDefault="00E835D4">
            <w:pPr>
              <w:spacing w:after="0"/>
            </w:pPr>
            <w:hyperlink r:id="rId14" w:history="1">
              <w:r>
                <w:rPr>
                  <w:rFonts w:ascii="Montserrat" w:eastAsia="Montserrat" w:hAnsi="Montserrat" w:cs="Montserrat"/>
                  <w:b/>
                  <w:bCs/>
                  <w:color w:val="37669D"/>
                  <w:sz w:val="18"/>
                  <w:szCs w:val="18"/>
                  <w:u w:val="single"/>
                </w:rPr>
                <w:t>Learn More About Resolve  ›</w:t>
              </w:r>
            </w:hyperlink>
          </w:p>
        </w:tc>
      </w:tr>
    </w:tbl>
    <w:p w14:paraId="06D50A77" w14:textId="77777777" w:rsidR="00E835D4" w:rsidRDefault="00000000">
      <w:pPr>
        <w:keepNext/>
        <w:spacing w:before="160" w:after="40"/>
      </w:pPr>
      <w:r>
        <w:rPr>
          <w:rFonts w:ascii="Montserrat" w:eastAsia="Montserrat" w:hAnsi="Montserrat" w:cs="Montserrat"/>
          <w:b/>
          <w:bCs/>
          <w:color w:val="37669D"/>
          <w:sz w:val="18"/>
          <w:szCs w:val="18"/>
        </w:rPr>
        <w:t>Selected sources</w:t>
      </w:r>
    </w:p>
    <w:p w14:paraId="35FF26D0" w14:textId="77777777" w:rsidR="00E835D4" w:rsidRDefault="00000000">
      <w:pPr>
        <w:pStyle w:val="ListParagraph"/>
        <w:numPr>
          <w:ilvl w:val="0"/>
          <w:numId w:val="2"/>
        </w:numPr>
        <w:spacing w:after="0"/>
      </w:pPr>
      <w:proofErr w:type="spellStart"/>
      <w:r>
        <w:rPr>
          <w:sz w:val="16"/>
          <w:szCs w:val="16"/>
        </w:rPr>
        <w:t>Ponemon</w:t>
      </w:r>
      <w:proofErr w:type="spellEnd"/>
      <w:r>
        <w:rPr>
          <w:sz w:val="16"/>
          <w:szCs w:val="16"/>
        </w:rPr>
        <w:t xml:space="preserve"> Institute, 2026 Cost of Insider Risks Global Report, sponsored by DTEX.</w:t>
      </w:r>
    </w:p>
    <w:p w14:paraId="1880BA27" w14:textId="77777777" w:rsidR="00E835D4" w:rsidRDefault="00000000">
      <w:pPr>
        <w:pStyle w:val="ListParagraph"/>
        <w:numPr>
          <w:ilvl w:val="0"/>
          <w:numId w:val="2"/>
        </w:numPr>
        <w:spacing w:after="0"/>
      </w:pPr>
      <w:r>
        <w:rPr>
          <w:sz w:val="16"/>
          <w:szCs w:val="16"/>
        </w:rPr>
        <w:t>Federal Bureau of Investigation, workplace violence and behavioral threat-assessment guidance.</w:t>
      </w:r>
    </w:p>
    <w:p w14:paraId="1D7233AD" w14:textId="77777777" w:rsidR="00E835D4" w:rsidRDefault="00000000">
      <w:pPr>
        <w:pStyle w:val="ListParagraph"/>
        <w:numPr>
          <w:ilvl w:val="0"/>
          <w:numId w:val="2"/>
        </w:numPr>
        <w:spacing w:after="0"/>
      </w:pPr>
      <w:r>
        <w:rPr>
          <w:sz w:val="16"/>
          <w:szCs w:val="16"/>
        </w:rPr>
        <w:t>U.S. Bureau of Labor Statistics, Census of Fatal Occupational Injuries, 2024.</w:t>
      </w:r>
    </w:p>
    <w:sectPr w:rsidR="00E835D4">
      <w:headerReference w:type="default" r:id="rId15"/>
      <w:footerReference w:type="default" r:id="rId16"/>
      <w:pgSz w:w="12240" w:h="15840"/>
      <w:pgMar w:top="1080" w:right="1080" w:bottom="108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B785E6" w14:textId="77777777" w:rsidR="00E60E64" w:rsidRDefault="00E60E64">
      <w:pPr>
        <w:spacing w:after="0" w:line="240" w:lineRule="auto"/>
      </w:pPr>
      <w:r>
        <w:separator/>
      </w:r>
    </w:p>
  </w:endnote>
  <w:endnote w:type="continuationSeparator" w:id="0">
    <w:p w14:paraId="50EAF3B9" w14:textId="77777777" w:rsidR="00E60E64" w:rsidRDefault="00E6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ontserrat">
    <w:panose1 w:val="00000500000000000000"/>
    <w:charset w:val="4D"/>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FF6FC4" w14:textId="77777777" w:rsidR="00E835D4" w:rsidRDefault="00000000">
    <w:pPr>
      <w:pBdr>
        <w:top w:val="single" w:sz="12" w:space="6" w:color="22A435"/>
      </w:pBdr>
      <w:tabs>
        <w:tab w:val="center" w:pos="5040"/>
        <w:tab w:val="right" w:pos="10080"/>
      </w:tabs>
      <w:spacing w:after="0"/>
    </w:pPr>
    <w:r>
      <w:rPr>
        <w:color w:val="627F9F"/>
        <w:sz w:val="16"/>
        <w:szCs w:val="16"/>
      </w:rPr>
      <w:t>info@ClearForce.com</w:t>
    </w:r>
    <w:r>
      <w:rPr>
        <w:color w:val="627F9F"/>
        <w:sz w:val="16"/>
        <w:szCs w:val="16"/>
      </w:rPr>
      <w:tab/>
    </w:r>
    <w:r>
      <w:rPr>
        <w:color w:val="627F9F"/>
        <w:sz w:val="16"/>
        <w:szCs w:val="16"/>
      </w:rPr>
      <w:fldChar w:fldCharType="begin"/>
    </w:r>
    <w:r>
      <w:rPr>
        <w:color w:val="627F9F"/>
        <w:sz w:val="16"/>
        <w:szCs w:val="16"/>
      </w:rPr>
      <w:instrText>PAGE</w:instrText>
    </w:r>
    <w:r>
      <w:rPr>
        <w:color w:val="627F9F"/>
        <w:sz w:val="16"/>
        <w:szCs w:val="16"/>
      </w:rPr>
      <w:fldChar w:fldCharType="separate"/>
    </w:r>
    <w:r w:rsidR="00AC219E">
      <w:rPr>
        <w:noProof/>
        <w:color w:val="627F9F"/>
        <w:sz w:val="16"/>
        <w:szCs w:val="16"/>
      </w:rPr>
      <w:t>1</w:t>
    </w:r>
    <w:r>
      <w:rPr>
        <w:color w:val="627F9F"/>
        <w:sz w:val="16"/>
        <w:szCs w:val="16"/>
      </w:rPr>
      <w:fldChar w:fldCharType="end"/>
    </w:r>
    <w:r>
      <w:rPr>
        <w:color w:val="627F9F"/>
        <w:sz w:val="16"/>
        <w:szCs w:val="16"/>
      </w:rPr>
      <w:tab/>
      <w:t>www.ClearForce.com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3BC44" w14:textId="77777777" w:rsidR="00E60E64" w:rsidRDefault="00E60E64">
      <w:pPr>
        <w:spacing w:after="0" w:line="240" w:lineRule="auto"/>
      </w:pPr>
      <w:r>
        <w:separator/>
      </w:r>
    </w:p>
  </w:footnote>
  <w:footnote w:type="continuationSeparator" w:id="0">
    <w:p w14:paraId="50D7B791" w14:textId="77777777" w:rsidR="00E60E64" w:rsidRDefault="00E6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7982D9" w14:textId="77777777" w:rsidR="00E835D4" w:rsidRDefault="00000000">
    <w:pPr>
      <w:pBdr>
        <w:bottom w:val="single" w:sz="12" w:space="6" w:color="22A435"/>
      </w:pBdr>
      <w:spacing w:after="0"/>
      <w:jc w:val="center"/>
    </w:pPr>
    <w:r>
      <w:rPr>
        <w:noProof/>
      </w:rPr>
      <w:drawing>
        <wp:inline distT="0" distB="0" distL="0" distR="0" wp14:anchorId="34CDAD3A" wp14:editId="517B64F5">
          <wp:extent cx="1828800" cy="276225"/>
          <wp:effectExtent l="0" t="0" r="0" b="0"/>
          <wp:docPr id="1016655274" name="Picture 101665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28800" cy="2762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706FC"/>
    <w:multiLevelType w:val="hybridMultilevel"/>
    <w:tmpl w:val="3F6EC76A"/>
    <w:lvl w:ilvl="0" w:tplc="C05C019E">
      <w:start w:val="1"/>
      <w:numFmt w:val="decimal"/>
      <w:lvlText w:val="%1."/>
      <w:lvlJc w:val="left"/>
      <w:pPr>
        <w:ind w:left="400" w:hanging="400"/>
      </w:pPr>
      <w:rPr>
        <w:rFonts w:ascii="Montserrat" w:eastAsia="Montserrat" w:hAnsi="Montserrat" w:cs="Montserrat"/>
        <w:b/>
        <w:bCs/>
        <w:color w:val="37669D"/>
        <w:sz w:val="16"/>
        <w:szCs w:val="16"/>
      </w:rPr>
    </w:lvl>
    <w:lvl w:ilvl="1" w:tplc="6F44F484">
      <w:numFmt w:val="decimal"/>
      <w:lvlText w:val=""/>
      <w:lvlJc w:val="left"/>
    </w:lvl>
    <w:lvl w:ilvl="2" w:tplc="2716E1A8">
      <w:numFmt w:val="decimal"/>
      <w:lvlText w:val=""/>
      <w:lvlJc w:val="left"/>
    </w:lvl>
    <w:lvl w:ilvl="3" w:tplc="713A574A">
      <w:numFmt w:val="decimal"/>
      <w:lvlText w:val=""/>
      <w:lvlJc w:val="left"/>
    </w:lvl>
    <w:lvl w:ilvl="4" w:tplc="424EFD76">
      <w:numFmt w:val="decimal"/>
      <w:lvlText w:val=""/>
      <w:lvlJc w:val="left"/>
    </w:lvl>
    <w:lvl w:ilvl="5" w:tplc="5C209B2A">
      <w:numFmt w:val="decimal"/>
      <w:lvlText w:val=""/>
      <w:lvlJc w:val="left"/>
    </w:lvl>
    <w:lvl w:ilvl="6" w:tplc="30A0F16C">
      <w:numFmt w:val="decimal"/>
      <w:lvlText w:val=""/>
      <w:lvlJc w:val="left"/>
    </w:lvl>
    <w:lvl w:ilvl="7" w:tplc="74847B6E">
      <w:numFmt w:val="decimal"/>
      <w:lvlText w:val=""/>
      <w:lvlJc w:val="left"/>
    </w:lvl>
    <w:lvl w:ilvl="8" w:tplc="98162C4A">
      <w:numFmt w:val="decimal"/>
      <w:lvlText w:val=""/>
      <w:lvlJc w:val="left"/>
    </w:lvl>
  </w:abstractNum>
  <w:abstractNum w:abstractNumId="1" w15:restartNumberingAfterBreak="0">
    <w:nsid w:val="5045304C"/>
    <w:multiLevelType w:val="hybridMultilevel"/>
    <w:tmpl w:val="46549386"/>
    <w:lvl w:ilvl="0" w:tplc="126C3B10">
      <w:start w:val="1"/>
      <w:numFmt w:val="bullet"/>
      <w:lvlText w:val="•"/>
      <w:lvlJc w:val="left"/>
      <w:pPr>
        <w:ind w:left="400" w:hanging="280"/>
      </w:pPr>
      <w:rPr>
        <w:b/>
        <w:bCs/>
        <w:color w:val="22A435"/>
      </w:rPr>
    </w:lvl>
    <w:lvl w:ilvl="1" w:tplc="4BE895AE">
      <w:numFmt w:val="decimal"/>
      <w:lvlText w:val=""/>
      <w:lvlJc w:val="left"/>
    </w:lvl>
    <w:lvl w:ilvl="2" w:tplc="C8C8464E">
      <w:numFmt w:val="decimal"/>
      <w:lvlText w:val=""/>
      <w:lvlJc w:val="left"/>
    </w:lvl>
    <w:lvl w:ilvl="3" w:tplc="70AE39DC">
      <w:numFmt w:val="decimal"/>
      <w:lvlText w:val=""/>
      <w:lvlJc w:val="left"/>
    </w:lvl>
    <w:lvl w:ilvl="4" w:tplc="049C0F4C">
      <w:numFmt w:val="decimal"/>
      <w:lvlText w:val=""/>
      <w:lvlJc w:val="left"/>
    </w:lvl>
    <w:lvl w:ilvl="5" w:tplc="5624118A">
      <w:numFmt w:val="decimal"/>
      <w:lvlText w:val=""/>
      <w:lvlJc w:val="left"/>
    </w:lvl>
    <w:lvl w:ilvl="6" w:tplc="6228FCE0">
      <w:numFmt w:val="decimal"/>
      <w:lvlText w:val=""/>
      <w:lvlJc w:val="left"/>
    </w:lvl>
    <w:lvl w:ilvl="7" w:tplc="DBAE63F0">
      <w:numFmt w:val="decimal"/>
      <w:lvlText w:val=""/>
      <w:lvlJc w:val="left"/>
    </w:lvl>
    <w:lvl w:ilvl="8" w:tplc="605074F0">
      <w:numFmt w:val="decimal"/>
      <w:lvlText w:val=""/>
      <w:lvlJc w:val="left"/>
    </w:lvl>
  </w:abstractNum>
  <w:abstractNum w:abstractNumId="2" w15:restartNumberingAfterBreak="0">
    <w:nsid w:val="76A57C90"/>
    <w:multiLevelType w:val="hybridMultilevel"/>
    <w:tmpl w:val="8F7858D8"/>
    <w:lvl w:ilvl="0" w:tplc="E7ECEB50">
      <w:start w:val="1"/>
      <w:numFmt w:val="bullet"/>
      <w:lvlText w:val="●"/>
      <w:lvlJc w:val="left"/>
      <w:pPr>
        <w:ind w:left="720" w:hanging="360"/>
      </w:pPr>
    </w:lvl>
    <w:lvl w:ilvl="1" w:tplc="E742953C">
      <w:start w:val="1"/>
      <w:numFmt w:val="bullet"/>
      <w:lvlText w:val="○"/>
      <w:lvlJc w:val="left"/>
      <w:pPr>
        <w:ind w:left="1440" w:hanging="360"/>
      </w:pPr>
    </w:lvl>
    <w:lvl w:ilvl="2" w:tplc="BADE6CEC">
      <w:start w:val="1"/>
      <w:numFmt w:val="bullet"/>
      <w:lvlText w:val="■"/>
      <w:lvlJc w:val="left"/>
      <w:pPr>
        <w:ind w:left="2160" w:hanging="360"/>
      </w:pPr>
    </w:lvl>
    <w:lvl w:ilvl="3" w:tplc="306280F0">
      <w:start w:val="1"/>
      <w:numFmt w:val="bullet"/>
      <w:lvlText w:val="●"/>
      <w:lvlJc w:val="left"/>
      <w:pPr>
        <w:ind w:left="2880" w:hanging="360"/>
      </w:pPr>
    </w:lvl>
    <w:lvl w:ilvl="4" w:tplc="FD146DC0">
      <w:start w:val="1"/>
      <w:numFmt w:val="bullet"/>
      <w:lvlText w:val="○"/>
      <w:lvlJc w:val="left"/>
      <w:pPr>
        <w:ind w:left="3600" w:hanging="360"/>
      </w:pPr>
    </w:lvl>
    <w:lvl w:ilvl="5" w:tplc="F3BC0A7C">
      <w:start w:val="1"/>
      <w:numFmt w:val="bullet"/>
      <w:lvlText w:val="■"/>
      <w:lvlJc w:val="left"/>
      <w:pPr>
        <w:ind w:left="4320" w:hanging="360"/>
      </w:pPr>
    </w:lvl>
    <w:lvl w:ilvl="6" w:tplc="A40C0E1C">
      <w:start w:val="1"/>
      <w:numFmt w:val="bullet"/>
      <w:lvlText w:val="●"/>
      <w:lvlJc w:val="left"/>
      <w:pPr>
        <w:ind w:left="5040" w:hanging="360"/>
      </w:pPr>
    </w:lvl>
    <w:lvl w:ilvl="7" w:tplc="994A2F9A">
      <w:start w:val="1"/>
      <w:numFmt w:val="bullet"/>
      <w:lvlText w:val="●"/>
      <w:lvlJc w:val="left"/>
      <w:pPr>
        <w:ind w:left="5760" w:hanging="360"/>
      </w:pPr>
    </w:lvl>
    <w:lvl w:ilvl="8" w:tplc="B358CF7E">
      <w:start w:val="1"/>
      <w:numFmt w:val="bullet"/>
      <w:lvlText w:val="●"/>
      <w:lvlJc w:val="left"/>
      <w:pPr>
        <w:ind w:left="6480" w:hanging="360"/>
      </w:pPr>
    </w:lvl>
  </w:abstractNum>
  <w:num w:numId="1" w16cid:durableId="418062154">
    <w:abstractNumId w:val="2"/>
    <w:lvlOverride w:ilvl="0">
      <w:startOverride w:val="1"/>
    </w:lvlOverride>
  </w:num>
  <w:num w:numId="2" w16cid:durableId="14177917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D4"/>
    <w:rsid w:val="00127C78"/>
    <w:rsid w:val="002151D9"/>
    <w:rsid w:val="006F3355"/>
    <w:rsid w:val="00AC219E"/>
    <w:rsid w:val="00BE7C56"/>
    <w:rsid w:val="00C1188A"/>
    <w:rsid w:val="00D47ABF"/>
    <w:rsid w:val="00E60E64"/>
    <w:rsid w:val="00E83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F6615"/>
  <w15:docId w15:val="{EE4C05AD-0510-41E5-A2C7-71225D60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color w:val="2B2B2B"/>
        <w:sz w:val="21"/>
        <w:szCs w:val="21"/>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20" w:after="100" w:line="264" w:lineRule="auto"/>
      <w:outlineLvl w:val="0"/>
    </w:pPr>
    <w:rPr>
      <w:rFonts w:ascii="Montserrat" w:eastAsia="Montserrat" w:hAnsi="Montserrat" w:cs="Montserrat"/>
      <w:b/>
      <w:bCs/>
      <w:color w:val="37669D"/>
      <w:sz w:val="25"/>
      <w:szCs w:val="25"/>
    </w:rPr>
  </w:style>
  <w:style w:type="paragraph" w:styleId="Heading2">
    <w:name w:val="heading 2"/>
    <w:uiPriority w:val="9"/>
    <w:semiHidden/>
    <w:unhideWhenUsed/>
    <w:qFormat/>
    <w:pPr>
      <w:spacing w:before="200" w:after="80" w:line="264" w:lineRule="auto"/>
      <w:outlineLvl w:val="1"/>
    </w:pPr>
    <w:rPr>
      <w:rFonts w:ascii="Montserrat" w:eastAsia="Montserrat" w:hAnsi="Montserrat" w:cs="Montserrat"/>
      <w:b/>
      <w:bCs/>
      <w:color w:val="22A435"/>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00" w:line="264" w:lineRule="auto"/>
    </w:pPr>
    <w:rPr>
      <w:rFonts w:ascii="Montserrat" w:eastAsia="Montserrat" w:hAnsi="Montserrat" w:cs="Montserrat"/>
      <w:b/>
      <w:bCs/>
      <w:color w:val="37669D"/>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20"/>
    </w:pPr>
    <w:rPr>
      <w:rFonts w:ascii="Montserrat" w:eastAsia="Montserrat" w:hAnsi="Montserrat" w:cs="Montserrat"/>
      <w:color w:val="22A4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fcc732d-59d4-44af-b36f-03c6d29f1b6e.filesusr.com/ugd/1afb41_fd5590f38ef64e7fb3fd9a0b76cf5566.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learforc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learforce.com/resolve-plat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10251ba-ff81-419a-bdd4-eb5474205b31">
      <Terms xmlns="http://schemas.microsoft.com/office/infopath/2007/PartnerControls"/>
    </lcf76f155ced4ddcb4097134ff3c332f>
    <_ip_UnifiedCompliancePolicyProperties xmlns="http://schemas.microsoft.com/sharepoint/v3" xsi:nil="true"/>
    <TaxCatchAll xmlns="1b5e164a-b09d-4ba9-9378-766bd91095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FA8B795D12074AA82216850EC2A359" ma:contentTypeVersion="20" ma:contentTypeDescription="Create a new document." ma:contentTypeScope="" ma:versionID="4cbf709813d91d24e40e2a0ce4e2d32e">
  <xsd:schema xmlns:xsd="http://www.w3.org/2001/XMLSchema" xmlns:xs="http://www.w3.org/2001/XMLSchema" xmlns:p="http://schemas.microsoft.com/office/2006/metadata/properties" xmlns:ns1="http://schemas.microsoft.com/sharepoint/v3" xmlns:ns2="1b5e164a-b09d-4ba9-9378-766bd9109517" xmlns:ns3="210251ba-ff81-419a-bdd4-eb5474205b31" targetNamespace="http://schemas.microsoft.com/office/2006/metadata/properties" ma:root="true" ma:fieldsID="a555f7a4fb49c30a788430943a0888d7" ns1:_="" ns2:_="" ns3:_="">
    <xsd:import namespace="http://schemas.microsoft.com/sharepoint/v3"/>
    <xsd:import namespace="1b5e164a-b09d-4ba9-9378-766bd9109517"/>
    <xsd:import namespace="210251ba-ff81-419a-bdd4-eb5474205b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e164a-b09d-4ba9-9378-766bd910951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dc6d5475-54b0-490b-bf8b-78848b3c057a}" ma:internalName="TaxCatchAll" ma:showField="CatchAllData" ma:web="1b5e164a-b09d-4ba9-9378-766bd91095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0251ba-ff81-419a-bdd4-eb5474205b3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8f19ee-1e3c-413c-ad5c-d6bf1b7afe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F9649-0ADB-46B2-B672-B4D2C5428F56}">
  <ds:schemaRefs>
    <ds:schemaRef ds:uri="http://schemas.microsoft.com/sharepoint/v3/contenttype/forms"/>
  </ds:schemaRefs>
</ds:datastoreItem>
</file>

<file path=customXml/itemProps2.xml><?xml version="1.0" encoding="utf-8"?>
<ds:datastoreItem xmlns:ds="http://schemas.openxmlformats.org/officeDocument/2006/customXml" ds:itemID="{1F2EA7EA-448B-4F64-AE5B-2FFC33558BE2}">
  <ds:schemaRefs>
    <ds:schemaRef ds:uri="http://schemas.microsoft.com/office/2006/metadata/properties"/>
    <ds:schemaRef ds:uri="http://schemas.microsoft.com/office/infopath/2007/PartnerControls"/>
    <ds:schemaRef ds:uri="http://schemas.microsoft.com/sharepoint/v3"/>
    <ds:schemaRef ds:uri="210251ba-ff81-419a-bdd4-eb5474205b31"/>
    <ds:schemaRef ds:uri="1b5e164a-b09d-4ba9-9378-766bd9109517"/>
  </ds:schemaRefs>
</ds:datastoreItem>
</file>

<file path=customXml/itemProps3.xml><?xml version="1.0" encoding="utf-8"?>
<ds:datastoreItem xmlns:ds="http://schemas.openxmlformats.org/officeDocument/2006/customXml" ds:itemID="{7953ED98-E79E-4944-8279-AF602FF36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5e164a-b09d-4ba9-9378-766bd9109517"/>
    <ds:schemaRef ds:uri="210251ba-ff81-419a-bdd4-eb5474205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607</Words>
  <Characters>3539</Characters>
  <Application>Microsoft Office Word</Application>
  <DocSecurity>0</DocSecurity>
  <Lines>82</Lines>
  <Paragraphs>55</Paragraphs>
  <ScaleCrop>false</ScaleCrop>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Face of Insider Risk</dc:title>
  <dc:subject>ClearForce executive brief</dc:subject>
  <dc:creator>ClearForce</dc:creator>
  <cp:lastModifiedBy>David Jeffries</cp:lastModifiedBy>
  <cp:revision>4</cp:revision>
  <dcterms:created xsi:type="dcterms:W3CDTF">2026-09-22T20:46:00Z</dcterms:created>
  <dcterms:modified xsi:type="dcterms:W3CDTF">2026-10-01T04:12:00Z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0x01010053FA8B795D12074AA82216850EC2A359</vt:lpwstr>
  </property>
</Properties>
</file>